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740"/>
      </w:tblGrid>
      <w:tr w:rsidR="00B130BB" w:rsidRPr="007E184D" w:rsidTr="00565809">
        <w:tc>
          <w:tcPr>
            <w:tcW w:w="1002" w:type="dxa"/>
            <w:vAlign w:val="center"/>
            <w:hideMark/>
          </w:tcPr>
          <w:p w:rsidR="00B130BB" w:rsidRPr="007E184D" w:rsidRDefault="007E184D" w:rsidP="00565809">
            <w:pPr>
              <w:pStyle w:val="stbilgi"/>
              <w:tabs>
                <w:tab w:val="left" w:pos="708"/>
              </w:tabs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noProof/>
                <w:sz w:val="20"/>
                <w:szCs w:val="20"/>
              </w:rPr>
              <w:drawing>
                <wp:inline distT="0" distB="0" distL="0" distR="0">
                  <wp:extent cx="914400" cy="704850"/>
                  <wp:effectExtent l="0" t="0" r="0" b="0"/>
                  <wp:docPr id="5" name="Resim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  <w:hideMark/>
          </w:tcPr>
          <w:p w:rsidR="00B130BB" w:rsidRPr="007E184D" w:rsidRDefault="00B130BB" w:rsidP="00565809">
            <w:pPr>
              <w:ind w:right="1177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7E184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T.C.</w:t>
            </w:r>
          </w:p>
          <w:p w:rsidR="00B130BB" w:rsidRPr="007E184D" w:rsidRDefault="00B130BB" w:rsidP="00565809">
            <w:pPr>
              <w:ind w:right="1177"/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7E184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AVRUPA BİRLİĞİ BAKANLIĞI</w:t>
            </w:r>
          </w:p>
          <w:p w:rsidR="00B130BB" w:rsidRPr="007E184D" w:rsidRDefault="00B130BB" w:rsidP="00565809">
            <w:pPr>
              <w:ind w:right="1177"/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7E184D">
              <w:rPr>
                <w:rFonts w:ascii="Palatino Linotype" w:hAnsi="Palatino Linotype" w:cs="Arial"/>
                <w:bCs/>
                <w:sz w:val="20"/>
                <w:szCs w:val="20"/>
              </w:rPr>
              <w:t>Proje Uygulama Başkanlığı</w:t>
            </w:r>
          </w:p>
        </w:tc>
      </w:tr>
    </w:tbl>
    <w:p w:rsidR="00B130BB" w:rsidRPr="007E184D" w:rsidRDefault="00B130BB" w:rsidP="00B130BB">
      <w:pPr>
        <w:jc w:val="center"/>
        <w:rPr>
          <w:rFonts w:ascii="Palatino Linotype" w:hAnsi="Palatino Linotype" w:cs="Arial"/>
          <w:sz w:val="20"/>
          <w:szCs w:val="20"/>
        </w:rPr>
      </w:pPr>
    </w:p>
    <w:p w:rsidR="00B130BB" w:rsidRPr="007E184D" w:rsidRDefault="00B130BB" w:rsidP="00B130BB">
      <w:pPr>
        <w:tabs>
          <w:tab w:val="left" w:pos="1418"/>
        </w:tabs>
        <w:spacing w:line="360" w:lineRule="auto"/>
        <w:jc w:val="center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Style w:val="hps"/>
          <w:rFonts w:ascii="Palatino Linotype" w:hAnsi="Palatino Linotype" w:cs="Arial"/>
          <w:b/>
          <w:color w:val="000000"/>
          <w:sz w:val="20"/>
          <w:szCs w:val="20"/>
        </w:rPr>
        <w:t>PROGRESS PROGRAMI PROJE TEKLİF ÇAĞRISI</w:t>
      </w:r>
    </w:p>
    <w:p w:rsidR="00B130BB" w:rsidRPr="007E184D" w:rsidRDefault="00B130BB" w:rsidP="00B130BB">
      <w:pPr>
        <w:pStyle w:val="AralkYok"/>
        <w:jc w:val="center"/>
        <w:rPr>
          <w:rFonts w:ascii="Palatino Linotype" w:hAnsi="Palatino Linotype" w:cs="Arial"/>
          <w:b/>
          <w:sz w:val="20"/>
          <w:szCs w:val="20"/>
        </w:rPr>
      </w:pPr>
    </w:p>
    <w:p w:rsidR="00B130BB" w:rsidRPr="007E184D" w:rsidRDefault="00B130BB" w:rsidP="00B130BB">
      <w:pPr>
        <w:pStyle w:val="AralkYok"/>
        <w:jc w:val="center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>PARES</w:t>
      </w:r>
    </w:p>
    <w:p w:rsidR="00B130BB" w:rsidRPr="007E184D" w:rsidRDefault="00B130BB" w:rsidP="00B130BB">
      <w:pPr>
        <w:pStyle w:val="AralkYok"/>
        <w:jc w:val="center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>(İstihdam Hizmetleri Ortaklığı)</w:t>
      </w:r>
    </w:p>
    <w:p w:rsidR="00B130BB" w:rsidRPr="007E184D" w:rsidRDefault="00B130BB" w:rsidP="00B130BB">
      <w:pPr>
        <w:pStyle w:val="AralkYok"/>
        <w:jc w:val="center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>Kamu İstihdam Hizmetleri &amp; Özel İstihdam Hizmetleri Birlikte Çalışıyor</w:t>
      </w:r>
    </w:p>
    <w:p w:rsidR="00B130BB" w:rsidRPr="007E184D" w:rsidRDefault="00B130BB" w:rsidP="00B130BB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B130BB" w:rsidRPr="007E184D" w:rsidRDefault="00B130BB" w:rsidP="007E184D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Style w:val="hps"/>
          <w:rFonts w:ascii="Palatino Linotype" w:hAnsi="Palatino Linotype" w:cs="Arial"/>
          <w:color w:val="000000"/>
          <w:sz w:val="20"/>
          <w:szCs w:val="20"/>
        </w:rPr>
        <w:t xml:space="preserve">Avrupa Komisyonu tarafından “PROGRESS” programı kapsamında “PARES: İstihdam Hizmetleri Ortaklığı” </w:t>
      </w:r>
      <w:r w:rsidRPr="007E184D">
        <w:rPr>
          <w:rFonts w:ascii="Palatino Linotype" w:hAnsi="Palatino Linotype" w:cs="Arial"/>
          <w:sz w:val="20"/>
          <w:szCs w:val="20"/>
        </w:rPr>
        <w:t>tek</w:t>
      </w:r>
      <w:r w:rsidR="007E184D">
        <w:rPr>
          <w:rFonts w:ascii="Palatino Linotype" w:hAnsi="Palatino Linotype" w:cs="Arial"/>
          <w:sz w:val="20"/>
          <w:szCs w:val="20"/>
        </w:rPr>
        <w:t>lif çağrısı duyuruya çıkmıştır.</w:t>
      </w: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b/>
          <w:sz w:val="20"/>
          <w:szCs w:val="20"/>
        </w:rPr>
      </w:pPr>
      <w:bookmarkStart w:id="0" w:name="_GoBack"/>
      <w:bookmarkEnd w:id="0"/>
      <w:r w:rsidRPr="007E184D">
        <w:rPr>
          <w:rFonts w:ascii="Palatino Linotype" w:hAnsi="Palatino Linotype" w:cs="Arial"/>
          <w:b/>
          <w:sz w:val="20"/>
          <w:szCs w:val="20"/>
        </w:rPr>
        <w:t>Programın Hedefi:</w:t>
      </w:r>
    </w:p>
    <w:p w:rsidR="00B130BB" w:rsidRPr="007E184D" w:rsidRDefault="008265BE" w:rsidP="00565809">
      <w:pPr>
        <w:spacing w:before="100" w:beforeAutospacing="1" w:after="240"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>Bu teklif</w:t>
      </w:r>
      <w:r w:rsidR="00160C91" w:rsidRPr="007E184D">
        <w:rPr>
          <w:rFonts w:ascii="Palatino Linotype" w:hAnsi="Palatino Linotype" w:cs="Arial"/>
          <w:sz w:val="20"/>
          <w:szCs w:val="20"/>
        </w:rPr>
        <w:t xml:space="preserve"> çağrısının temel hedefi </w:t>
      </w:r>
      <w:r w:rsidR="00C83BFE" w:rsidRPr="007E184D">
        <w:rPr>
          <w:rFonts w:ascii="Palatino Linotype" w:hAnsi="Palatino Linotype" w:cs="Arial"/>
          <w:sz w:val="20"/>
          <w:szCs w:val="20"/>
        </w:rPr>
        <w:t xml:space="preserve">destek </w:t>
      </w:r>
      <w:r w:rsidR="002C7235" w:rsidRPr="007E184D">
        <w:rPr>
          <w:rFonts w:ascii="Palatino Linotype" w:hAnsi="Palatino Linotype" w:cs="Arial"/>
          <w:sz w:val="20"/>
          <w:szCs w:val="20"/>
        </w:rPr>
        <w:t>hizmetlerinin yüksek kalite ve verimlilik standardlarıyla sunulabilmesi için</w:t>
      </w:r>
      <w:r w:rsidR="00C83BFE" w:rsidRPr="007E184D">
        <w:rPr>
          <w:rFonts w:ascii="Palatino Linotype" w:hAnsi="Palatino Linotype" w:cs="Arial"/>
          <w:sz w:val="20"/>
          <w:szCs w:val="20"/>
        </w:rPr>
        <w:t xml:space="preserve"> AB seviyesinde </w:t>
      </w:r>
      <w:r w:rsidR="00160C91" w:rsidRPr="007E184D">
        <w:rPr>
          <w:rFonts w:ascii="Palatino Linotype" w:hAnsi="Palatino Linotype" w:cs="Arial"/>
          <w:sz w:val="20"/>
          <w:szCs w:val="20"/>
        </w:rPr>
        <w:t xml:space="preserve">yeni işbirliği şekilleri oluşturulmasının teşvik edilmesidir. </w:t>
      </w:r>
      <w:r w:rsidR="00C83BFE" w:rsidRPr="007E184D">
        <w:rPr>
          <w:rFonts w:ascii="Palatino Linotype" w:hAnsi="Palatino Linotype" w:cs="Arial"/>
          <w:sz w:val="20"/>
          <w:szCs w:val="20"/>
        </w:rPr>
        <w:t>Bu genel hedefe paralel olarak teklif çağrısı; kamu, özel veya üçüncü sektör istihdam hizmetleri</w:t>
      </w:r>
      <w:r w:rsidR="00B22D6A" w:rsidRPr="007E184D">
        <w:rPr>
          <w:rFonts w:ascii="Palatino Linotype" w:hAnsi="Palatino Linotype" w:cs="Arial"/>
          <w:sz w:val="20"/>
          <w:szCs w:val="20"/>
        </w:rPr>
        <w:t xml:space="preserve"> sağlayan</w:t>
      </w:r>
      <w:r w:rsidR="00C83BFE" w:rsidRPr="007E184D">
        <w:rPr>
          <w:rFonts w:ascii="Palatino Linotype" w:hAnsi="Palatino Linotype" w:cs="Arial"/>
          <w:sz w:val="20"/>
          <w:szCs w:val="20"/>
        </w:rPr>
        <w:t xml:space="preserve"> en az iki farklı türde </w:t>
      </w:r>
      <w:r w:rsidR="00B22D6A" w:rsidRPr="007E184D">
        <w:rPr>
          <w:rFonts w:ascii="Palatino Linotype" w:hAnsi="Palatino Linotype" w:cs="Arial"/>
          <w:sz w:val="20"/>
          <w:szCs w:val="20"/>
        </w:rPr>
        <w:t xml:space="preserve">ortağın </w:t>
      </w:r>
      <w:r w:rsidR="00C83BFE" w:rsidRPr="007E184D">
        <w:rPr>
          <w:rFonts w:ascii="Palatino Linotype" w:hAnsi="Palatino Linotype" w:cs="Arial"/>
          <w:sz w:val="20"/>
          <w:szCs w:val="20"/>
        </w:rPr>
        <w:t>yer aldığı ve eğitim sağlayıcıları, STK’</w:t>
      </w:r>
      <w:r w:rsidR="00160C91" w:rsidRPr="007E184D">
        <w:rPr>
          <w:rFonts w:ascii="Palatino Linotype" w:hAnsi="Palatino Linotype" w:cs="Arial"/>
          <w:sz w:val="20"/>
          <w:szCs w:val="20"/>
        </w:rPr>
        <w:t>ları, sosyal yardım kurumlarını</w:t>
      </w:r>
      <w:r w:rsidR="00C83BFE" w:rsidRPr="007E184D">
        <w:rPr>
          <w:rFonts w:ascii="Palatino Linotype" w:hAnsi="Palatino Linotype" w:cs="Arial"/>
          <w:sz w:val="20"/>
          <w:szCs w:val="20"/>
        </w:rPr>
        <w:t xml:space="preserve"> vs. de içerebilen projeleri destekleyecektir. Projeleri her bir istihdam servisinin güçlü yanları ve uzmanlığına dayandırmak esastır. Ortaklar aynı ülkeden olabilirler. Her proje açıkça şu iki teknik amaca dayanacaktır:</w:t>
      </w:r>
    </w:p>
    <w:p w:rsidR="00C83BFE" w:rsidRPr="007E184D" w:rsidRDefault="00C83BFE" w:rsidP="00565809">
      <w:pPr>
        <w:spacing w:before="100" w:beforeAutospacing="1" w:after="240"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 xml:space="preserve">1. </w:t>
      </w:r>
      <w:r w:rsidR="00160C91" w:rsidRPr="007E184D">
        <w:rPr>
          <w:rFonts w:ascii="Palatino Linotype" w:hAnsi="Palatino Linotype" w:cs="Arial"/>
          <w:sz w:val="20"/>
          <w:szCs w:val="20"/>
        </w:rPr>
        <w:t xml:space="preserve">Farklı sektörden ortaklarca, ölçülebilir ve önceden tanımlanmış amaçlarla, özel istihdam hizmetlerinin </w:t>
      </w:r>
      <w:r w:rsidR="002C7235" w:rsidRPr="007E184D">
        <w:rPr>
          <w:rFonts w:ascii="Palatino Linotype" w:hAnsi="Palatino Linotype" w:cs="Arial"/>
          <w:sz w:val="20"/>
          <w:szCs w:val="20"/>
        </w:rPr>
        <w:t>nihai tüketiciye dönük olarak geliştirilmesi ve sunulması;</w:t>
      </w:r>
    </w:p>
    <w:p w:rsidR="008265BE" w:rsidRPr="007E184D" w:rsidRDefault="002C7235" w:rsidP="00565809">
      <w:pPr>
        <w:spacing w:before="100" w:beforeAutospacing="1" w:after="240"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 xml:space="preserve">2. </w:t>
      </w:r>
      <w:r w:rsidR="00565809" w:rsidRPr="007E184D">
        <w:rPr>
          <w:rFonts w:ascii="Palatino Linotype" w:hAnsi="Palatino Linotype" w:cs="Arial"/>
          <w:sz w:val="20"/>
          <w:szCs w:val="20"/>
        </w:rPr>
        <w:t>Benzer hizmet sunumlarına dönük olarak yukarıda anılan istihdam hizmetleri ortaklıklarında tecrübe edilen analitik ve metodolojik bulguların öngörüsü.</w:t>
      </w:r>
    </w:p>
    <w:p w:rsidR="00B130BB" w:rsidRPr="007E184D" w:rsidRDefault="007E184D" w:rsidP="007E184D">
      <w:pPr>
        <w:spacing w:line="360" w:lineRule="auto"/>
        <w:ind w:firstLine="567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Hibe Miktarı ve Oranı:</w:t>
      </w:r>
    </w:p>
    <w:p w:rsidR="00B130BB" w:rsidRPr="007E184D" w:rsidRDefault="00B130BB" w:rsidP="007E184D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 xml:space="preserve">Bu çağrı için belirtilen toplam hibe miktarı </w:t>
      </w:r>
      <w:r w:rsidRPr="007E184D">
        <w:rPr>
          <w:rFonts w:ascii="Palatino Linotype" w:hAnsi="Palatino Linotype" w:cs="Arial"/>
          <w:b/>
          <w:sz w:val="20"/>
          <w:szCs w:val="20"/>
        </w:rPr>
        <w:t>1.500.000 Avro</w:t>
      </w:r>
      <w:r w:rsidRPr="007E184D">
        <w:rPr>
          <w:rFonts w:ascii="Palatino Linotype" w:hAnsi="Palatino Linotype" w:cs="Arial"/>
          <w:sz w:val="20"/>
          <w:szCs w:val="20"/>
        </w:rPr>
        <w:t xml:space="preserve">’dur. Avrupa Komisyonu en fazla </w:t>
      </w:r>
      <w:r w:rsidRPr="007E184D">
        <w:rPr>
          <w:rFonts w:ascii="Palatino Linotype" w:hAnsi="Palatino Linotype" w:cs="Arial"/>
          <w:b/>
          <w:sz w:val="20"/>
          <w:szCs w:val="20"/>
        </w:rPr>
        <w:t xml:space="preserve">5 </w:t>
      </w:r>
      <w:r w:rsidRPr="007E184D">
        <w:rPr>
          <w:rFonts w:ascii="Palatino Linotype" w:hAnsi="Palatino Linotype" w:cs="Arial"/>
          <w:sz w:val="20"/>
          <w:szCs w:val="20"/>
        </w:rPr>
        <w:t xml:space="preserve">projeyi desteklemeyi hedeflemektedir. Proje faaliyetleri toplam uygun maliyetlerinin en fazla %80’ine tekabül eden kısmı Avrupa Birliği’nce finanse edilecektir. </w:t>
      </w:r>
      <w:proofErr w:type="spellStart"/>
      <w:r w:rsidRPr="007E184D">
        <w:rPr>
          <w:rFonts w:ascii="Palatino Linotype" w:hAnsi="Palatino Linotype" w:cs="Arial"/>
          <w:sz w:val="20"/>
          <w:szCs w:val="20"/>
        </w:rPr>
        <w:t>Eşfinansman</w:t>
      </w:r>
      <w:proofErr w:type="spellEnd"/>
      <w:r w:rsidRPr="007E184D">
        <w:rPr>
          <w:rFonts w:ascii="Palatino Linotype" w:hAnsi="Palatino Linotype" w:cs="Arial"/>
          <w:sz w:val="20"/>
          <w:szCs w:val="20"/>
        </w:rPr>
        <w:t xml:space="preserve"> kaynakları kamu veya ö</w:t>
      </w:r>
      <w:r w:rsidR="007E184D">
        <w:rPr>
          <w:rFonts w:ascii="Palatino Linotype" w:hAnsi="Palatino Linotype" w:cs="Arial"/>
          <w:sz w:val="20"/>
          <w:szCs w:val="20"/>
        </w:rPr>
        <w:t>zel sektörden temin edilebilir.</w:t>
      </w: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 xml:space="preserve">Kimler Başvurabilir: </w:t>
      </w:r>
    </w:p>
    <w:p w:rsidR="00B130BB" w:rsidRPr="007E184D" w:rsidRDefault="00B130BB" w:rsidP="00565809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4A6D29" w:rsidRPr="007E184D" w:rsidRDefault="004A6D29" w:rsidP="004A6D29">
      <w:pPr>
        <w:pStyle w:val="ListeParagraf"/>
        <w:numPr>
          <w:ilvl w:val="0"/>
          <w:numId w:val="1"/>
        </w:numPr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>Başvuru sahipleri Mali Tüzük’ün 93(1), 94 ve 96(2)(a) maddelerinde belirtilen şartlara uygun olmalıdırlar</w:t>
      </w:r>
      <w:r w:rsidRPr="007E184D">
        <w:rPr>
          <w:rStyle w:val="DipnotBavurusu"/>
          <w:rFonts w:ascii="Palatino Linotype" w:hAnsi="Palatino Linotype" w:cs="Arial"/>
          <w:sz w:val="20"/>
          <w:szCs w:val="20"/>
        </w:rPr>
        <w:footnoteReference w:id="1"/>
      </w:r>
      <w:r w:rsidRPr="007E184D">
        <w:rPr>
          <w:rFonts w:ascii="Palatino Linotype" w:hAnsi="Palatino Linotype" w:cs="Arial"/>
          <w:sz w:val="20"/>
          <w:szCs w:val="20"/>
        </w:rPr>
        <w:t>,</w:t>
      </w:r>
    </w:p>
    <w:p w:rsidR="004A6D29" w:rsidRPr="007E184D" w:rsidRDefault="004A6D29" w:rsidP="004A6D29">
      <w:pPr>
        <w:pStyle w:val="ListeParagraf"/>
        <w:numPr>
          <w:ilvl w:val="0"/>
          <w:numId w:val="1"/>
        </w:numPr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lastRenderedPageBreak/>
        <w:t>Başvuru sahipleri AB ülkelerinden ya da PROGRESS programına katılan diğer ülkelerden</w:t>
      </w:r>
      <w:r w:rsidRPr="007E184D">
        <w:rPr>
          <w:rStyle w:val="DipnotBavurusu"/>
          <w:rFonts w:ascii="Palatino Linotype" w:hAnsi="Palatino Linotype" w:cs="Arial"/>
          <w:sz w:val="20"/>
          <w:szCs w:val="20"/>
        </w:rPr>
        <w:footnoteReference w:id="2"/>
      </w:r>
      <w:r w:rsidRPr="007E184D">
        <w:rPr>
          <w:rFonts w:ascii="Palatino Linotype" w:hAnsi="Palatino Linotype" w:cs="Arial"/>
          <w:sz w:val="20"/>
          <w:szCs w:val="20"/>
        </w:rPr>
        <w:t xml:space="preserve"> birinde usulüne uygun olarak oluşturulmuş ve kaydedilmiş tüzel kişiler olmalıdırlar,</w:t>
      </w:r>
    </w:p>
    <w:p w:rsidR="004A6D29" w:rsidRPr="007E184D" w:rsidRDefault="004A6D29" w:rsidP="004A6D29">
      <w:pPr>
        <w:pStyle w:val="ListeParagraf"/>
        <w:numPr>
          <w:ilvl w:val="0"/>
          <w:numId w:val="1"/>
        </w:numPr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>Uygun başvuru sahipleri ana görevi iş arayanlara ya da iş değiştirenlere istihdam hizmetleri sağlayan kamu, özel ya da üçüncü sektör kuruluşları</w:t>
      </w:r>
    </w:p>
    <w:p w:rsidR="004A6D29" w:rsidRPr="007E184D" w:rsidRDefault="004A6D29" w:rsidP="004A6D29">
      <w:pPr>
        <w:pStyle w:val="ListeParagraf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 xml:space="preserve"> </w:t>
      </w:r>
    </w:p>
    <w:p w:rsidR="004A6D29" w:rsidRPr="007E184D" w:rsidRDefault="004A6D29" w:rsidP="004A6D29">
      <w:pPr>
        <w:pStyle w:val="ListeParagraf"/>
        <w:jc w:val="both"/>
        <w:rPr>
          <w:rFonts w:ascii="Palatino Linotype" w:hAnsi="Palatino Linotype" w:cs="Arial"/>
          <w:sz w:val="20"/>
          <w:szCs w:val="20"/>
        </w:rPr>
      </w:pPr>
    </w:p>
    <w:p w:rsidR="00B130BB" w:rsidRPr="007E184D" w:rsidRDefault="00B130BB" w:rsidP="004A6D29">
      <w:pPr>
        <w:pStyle w:val="ListeParagraf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>Son Başvuru Tarihleri:</w:t>
      </w: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>Teklifler, elektronik ortamda ayrıca basılı şekilde (1 ıslak imzalı form ve 2 kopyası) en geç 17 Ağustos 2011 Çarşamba günü Avrupa Komisyonu’na ulaştırılmış olmalıdır.</w:t>
      </w:r>
    </w:p>
    <w:p w:rsidR="00B130BB" w:rsidRPr="007E184D" w:rsidRDefault="00B130BB" w:rsidP="00565809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>Posta yoluyla yapılacak başvurular için adres:</w:t>
      </w:r>
    </w:p>
    <w:p w:rsidR="00B130BB" w:rsidRPr="007E184D" w:rsidRDefault="00B130BB" w:rsidP="00565809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European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Commission</w:t>
      </w:r>
      <w:proofErr w:type="spellEnd"/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Employment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,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Social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Affairs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and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Inclusion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DG</w:t>
      </w:r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Unit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C4-Employment Services, EURES – Call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for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proposals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VP/2011/005</w:t>
      </w:r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Archives-Courier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service J27 0/115</w:t>
      </w: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eastAsia="Calibri" w:hAnsi="Palatino Linotype" w:cs="Arial"/>
          <w:sz w:val="20"/>
          <w:szCs w:val="20"/>
        </w:rPr>
        <w:t xml:space="preserve">B-1049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Brussels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(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Belgium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>)</w:t>
      </w:r>
    </w:p>
    <w:p w:rsidR="00B130BB" w:rsidRPr="007E184D" w:rsidRDefault="00B130BB" w:rsidP="00565809">
      <w:pPr>
        <w:spacing w:line="360" w:lineRule="auto"/>
        <w:jc w:val="both"/>
        <w:rPr>
          <w:rFonts w:ascii="Palatino Linotype" w:hAnsi="Palatino Linotype" w:cs="Arial"/>
          <w:sz w:val="20"/>
          <w:szCs w:val="20"/>
        </w:rPr>
      </w:pP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Fonts w:ascii="Palatino Linotype" w:hAnsi="Palatino Linotype" w:cs="Arial"/>
          <w:b/>
          <w:sz w:val="20"/>
          <w:szCs w:val="20"/>
        </w:rPr>
        <w:t>Elden teslim edilecek başvurular için adres:</w:t>
      </w:r>
    </w:p>
    <w:p w:rsidR="00B130BB" w:rsidRPr="007E184D" w:rsidRDefault="00B130BB" w:rsidP="00565809">
      <w:pPr>
        <w:spacing w:line="36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eastAsia="Calibri" w:hAnsi="Palatino Linotype" w:cs="Arial"/>
          <w:bCs/>
          <w:sz w:val="20"/>
          <w:szCs w:val="20"/>
          <w:lang w:eastAsia="en-US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European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Commission</w:t>
      </w:r>
      <w:proofErr w:type="spellEnd"/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Employment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,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Social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Affairs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and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Inclusion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DG</w:t>
      </w:r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Unit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C4-Employment Services, EURES – Call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for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proposals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VP/2011/005</w:t>
      </w:r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r w:rsidRPr="007E184D">
        <w:rPr>
          <w:rFonts w:ascii="Palatino Linotype" w:eastAsia="Calibri" w:hAnsi="Palatino Linotype" w:cs="Arial"/>
          <w:sz w:val="20"/>
          <w:szCs w:val="20"/>
        </w:rPr>
        <w:t xml:space="preserve">Central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Courier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Service</w:t>
      </w:r>
    </w:p>
    <w:p w:rsidR="00B130BB" w:rsidRPr="007E184D" w:rsidRDefault="00B130BB" w:rsidP="0056580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Palatino Linotype" w:eastAsia="Calibri" w:hAnsi="Palatino Linotype" w:cs="Arial"/>
          <w:sz w:val="20"/>
          <w:szCs w:val="20"/>
        </w:rPr>
      </w:pP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Avenue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du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 xml:space="preserve"> 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Bourget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>, 1</w:t>
      </w: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b/>
          <w:sz w:val="20"/>
          <w:szCs w:val="20"/>
        </w:rPr>
      </w:pPr>
      <w:r w:rsidRPr="007E184D">
        <w:rPr>
          <w:rFonts w:ascii="Palatino Linotype" w:eastAsia="Calibri" w:hAnsi="Palatino Linotype" w:cs="Arial"/>
          <w:sz w:val="20"/>
          <w:szCs w:val="20"/>
        </w:rPr>
        <w:t>1140 Evere (</w:t>
      </w:r>
      <w:proofErr w:type="spellStart"/>
      <w:r w:rsidRPr="007E184D">
        <w:rPr>
          <w:rFonts w:ascii="Palatino Linotype" w:eastAsia="Calibri" w:hAnsi="Palatino Linotype" w:cs="Arial"/>
          <w:sz w:val="20"/>
          <w:szCs w:val="20"/>
        </w:rPr>
        <w:t>Belgium</w:t>
      </w:r>
      <w:proofErr w:type="spellEnd"/>
      <w:r w:rsidRPr="007E184D">
        <w:rPr>
          <w:rFonts w:ascii="Palatino Linotype" w:eastAsia="Calibri" w:hAnsi="Palatino Linotype" w:cs="Arial"/>
          <w:sz w:val="20"/>
          <w:szCs w:val="20"/>
        </w:rPr>
        <w:t>)</w:t>
      </w:r>
    </w:p>
    <w:p w:rsidR="00B130BB" w:rsidRPr="007E184D" w:rsidRDefault="00B130BB" w:rsidP="00565809">
      <w:pPr>
        <w:spacing w:line="360" w:lineRule="auto"/>
        <w:jc w:val="both"/>
        <w:rPr>
          <w:rFonts w:ascii="Palatino Linotype" w:eastAsia="Calibri" w:hAnsi="Palatino Linotype" w:cs="Arial"/>
          <w:bCs/>
          <w:sz w:val="20"/>
          <w:szCs w:val="20"/>
          <w:lang w:eastAsia="en-US"/>
        </w:rPr>
      </w:pPr>
    </w:p>
    <w:p w:rsidR="00565809" w:rsidRPr="007E184D" w:rsidRDefault="00B130BB" w:rsidP="007E184D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eastAsia="Calibri" w:hAnsi="Palatino Linotype" w:cs="Arial"/>
          <w:bCs/>
          <w:sz w:val="20"/>
          <w:szCs w:val="20"/>
          <w:lang w:eastAsia="en-US"/>
        </w:rPr>
        <w:t xml:space="preserve">Elden yapılacak başvurular en geç başvuru bitiş tarihi olan </w:t>
      </w:r>
      <w:r w:rsidRPr="007E184D">
        <w:rPr>
          <w:rFonts w:ascii="Palatino Linotype" w:hAnsi="Palatino Linotype" w:cs="Arial"/>
          <w:sz w:val="20"/>
          <w:szCs w:val="20"/>
        </w:rPr>
        <w:t xml:space="preserve">17 Ağustos 2011 Çarşamba günü </w:t>
      </w:r>
      <w:r w:rsidRPr="007E184D">
        <w:rPr>
          <w:rFonts w:ascii="Palatino Linotype" w:eastAsia="Calibri" w:hAnsi="Palatino Linotype" w:cs="Arial"/>
          <w:bCs/>
          <w:sz w:val="20"/>
          <w:szCs w:val="20"/>
          <w:lang w:eastAsia="en-US"/>
        </w:rPr>
        <w:t>saat 16.00’ya kadar Avrupa Komisyonu’na ulaştırılmalıdır.</w:t>
      </w:r>
    </w:p>
    <w:p w:rsidR="00B130BB" w:rsidRPr="007E184D" w:rsidRDefault="00B130BB" w:rsidP="00565809">
      <w:pPr>
        <w:spacing w:line="360" w:lineRule="auto"/>
        <w:ind w:firstLine="567"/>
        <w:jc w:val="both"/>
        <w:rPr>
          <w:rFonts w:ascii="Palatino Linotype" w:hAnsi="Palatino Linotype" w:cs="Arial"/>
          <w:sz w:val="20"/>
          <w:szCs w:val="20"/>
        </w:rPr>
      </w:pPr>
      <w:r w:rsidRPr="007E184D">
        <w:rPr>
          <w:rFonts w:ascii="Palatino Linotype" w:hAnsi="Palatino Linotype" w:cs="Arial"/>
          <w:sz w:val="20"/>
          <w:szCs w:val="20"/>
        </w:rPr>
        <w:t>Proje teklif çağrısı hakkında ayrıntılı bilgiye ve başvuru formlarına aşağıdaki internet adresinden ulaşabilirsiniz.</w:t>
      </w:r>
    </w:p>
    <w:p w:rsidR="00B130BB" w:rsidRPr="007E184D" w:rsidRDefault="00B130BB" w:rsidP="00B130BB">
      <w:pPr>
        <w:jc w:val="both"/>
        <w:rPr>
          <w:rFonts w:ascii="Palatino Linotype" w:hAnsi="Palatino Linotype" w:cs="Arial"/>
          <w:sz w:val="20"/>
          <w:szCs w:val="20"/>
        </w:rPr>
      </w:pPr>
    </w:p>
    <w:p w:rsidR="00975986" w:rsidRPr="007E184D" w:rsidRDefault="00B130BB" w:rsidP="00B130BB">
      <w:pPr>
        <w:rPr>
          <w:rFonts w:ascii="Palatino Linotype" w:hAnsi="Palatino Linotype" w:cs="Arial"/>
          <w:sz w:val="20"/>
          <w:szCs w:val="20"/>
        </w:rPr>
      </w:pPr>
      <w:hyperlink r:id="rId9" w:history="1"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http://ec.europa.eu/social/</w:t>
        </w:r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m</w:t>
        </w:r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ain.jsp?ca</w:t>
        </w:r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t</w:t>
        </w:r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Id=630</w:t>
        </w:r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&amp;</w:t>
        </w:r>
        <w:r w:rsidRPr="007E184D">
          <w:rPr>
            <w:rStyle w:val="Kpr"/>
            <w:rFonts w:ascii="Palatino Linotype" w:hAnsi="Palatino Linotype" w:cs="Arial"/>
            <w:sz w:val="20"/>
            <w:szCs w:val="20"/>
          </w:rPr>
          <w:t>langId=en&amp;callId=307&amp;furtherCalls=yes</w:t>
        </w:r>
      </w:hyperlink>
      <w:r w:rsidRPr="007E184D">
        <w:rPr>
          <w:rFonts w:ascii="Palatino Linotype" w:hAnsi="Palatino Linotype" w:cs="Arial"/>
          <w:sz w:val="20"/>
          <w:szCs w:val="20"/>
        </w:rPr>
        <w:t xml:space="preserve"> </w:t>
      </w:r>
    </w:p>
    <w:sectPr w:rsidR="00975986" w:rsidRPr="007E184D" w:rsidSect="0097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05" w:rsidRDefault="00727A05" w:rsidP="004A6D29">
      <w:r>
        <w:separator/>
      </w:r>
    </w:p>
  </w:endnote>
  <w:endnote w:type="continuationSeparator" w:id="0">
    <w:p w:rsidR="00727A05" w:rsidRDefault="00727A05" w:rsidP="004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05" w:rsidRDefault="00727A05" w:rsidP="004A6D29">
      <w:r>
        <w:separator/>
      </w:r>
    </w:p>
  </w:footnote>
  <w:footnote w:type="continuationSeparator" w:id="0">
    <w:p w:rsidR="00727A05" w:rsidRDefault="00727A05" w:rsidP="004A6D29">
      <w:r>
        <w:continuationSeparator/>
      </w:r>
    </w:p>
  </w:footnote>
  <w:footnote w:id="1">
    <w:p w:rsidR="004A6D29" w:rsidRPr="00242416" w:rsidRDefault="004A6D29" w:rsidP="004A6D29">
      <w:pPr>
        <w:pStyle w:val="DipnotMetni"/>
        <w:rPr>
          <w:rFonts w:ascii="Calibri" w:hAnsi="Calibri"/>
        </w:rPr>
      </w:pPr>
      <w:r w:rsidRPr="00242416">
        <w:rPr>
          <w:rStyle w:val="DipnotBavurusu"/>
          <w:rFonts w:ascii="Calibri" w:hAnsi="Calibri"/>
        </w:rPr>
        <w:footnoteRef/>
      </w:r>
      <w:r w:rsidRPr="00242416">
        <w:rPr>
          <w:rFonts w:ascii="Calibri" w:hAnsi="Calibri"/>
        </w:rPr>
        <w:t xml:space="preserve">  Bu konuda daha ayrıntılı bilgiye proje rehberinden ulaşabilirsiniz. </w:t>
      </w:r>
    </w:p>
  </w:footnote>
  <w:footnote w:id="2">
    <w:p w:rsidR="004A6D29" w:rsidRPr="00DF453B" w:rsidRDefault="004A6D29" w:rsidP="004A6D29">
      <w:pPr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DF453B">
        <w:rPr>
          <w:rStyle w:val="DipnotBavurusu"/>
          <w:rFonts w:ascii="Calibri" w:hAnsi="Calibri"/>
          <w:sz w:val="20"/>
          <w:szCs w:val="20"/>
        </w:rPr>
        <w:footnoteRef/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DF453B">
        <w:rPr>
          <w:rFonts w:ascii="Calibri" w:hAnsi="Calibri" w:cs="Calibri"/>
          <w:b/>
          <w:sz w:val="20"/>
          <w:szCs w:val="20"/>
        </w:rPr>
        <w:t>PROGRESS programına katılan ülkeler:</w:t>
      </w:r>
      <w:r>
        <w:rPr>
          <w:rFonts w:ascii="Calibri" w:hAnsi="Calibri" w:cs="Calibri"/>
          <w:sz w:val="20"/>
          <w:szCs w:val="20"/>
        </w:rPr>
        <w:t xml:space="preserve"> A</w:t>
      </w:r>
      <w:r w:rsidRPr="00DF453B">
        <w:rPr>
          <w:rFonts w:ascii="Calibri" w:hAnsi="Calibri" w:cs="Calibri"/>
          <w:sz w:val="20"/>
          <w:szCs w:val="20"/>
        </w:rPr>
        <w:t>B üyesi ülkele</w:t>
      </w:r>
      <w:r>
        <w:rPr>
          <w:rFonts w:ascii="Calibri" w:hAnsi="Calibri" w:cs="Calibri"/>
          <w:sz w:val="20"/>
          <w:szCs w:val="20"/>
        </w:rPr>
        <w:t>r</w:t>
      </w:r>
      <w:r w:rsidRPr="00DF453B">
        <w:rPr>
          <w:rFonts w:ascii="Calibri" w:hAnsi="Calibri" w:cs="Calibri"/>
          <w:sz w:val="20"/>
          <w:szCs w:val="20"/>
        </w:rPr>
        <w:t>, AB’ye</w:t>
      </w:r>
      <w:r>
        <w:rPr>
          <w:rFonts w:ascii="Calibri" w:hAnsi="Calibri" w:cs="Calibri"/>
          <w:sz w:val="20"/>
          <w:szCs w:val="20"/>
        </w:rPr>
        <w:t xml:space="preserve"> aday ülkeler</w:t>
      </w:r>
      <w:r w:rsidRPr="00DF453B">
        <w:rPr>
          <w:rFonts w:ascii="Calibri" w:hAnsi="Calibri" w:cs="Calibri"/>
          <w:sz w:val="20"/>
          <w:szCs w:val="20"/>
        </w:rPr>
        <w:t xml:space="preserve"> (Hırvatistan, Makedonya Cumhuriyeti, Türkiye), Avrupa Ekonomik Alanı üyesi EFTA (</w:t>
      </w:r>
      <w:proofErr w:type="spellStart"/>
      <w:r w:rsidRPr="00DF453B">
        <w:rPr>
          <w:rFonts w:ascii="Calibri" w:eastAsia="Calibri" w:hAnsi="Calibri" w:cs="Calibri"/>
          <w:sz w:val="20"/>
          <w:szCs w:val="20"/>
          <w:lang w:eastAsia="en-US"/>
        </w:rPr>
        <w:t>European</w:t>
      </w:r>
      <w:proofErr w:type="spellEnd"/>
      <w:r w:rsidRPr="00DF453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DF453B">
        <w:rPr>
          <w:rFonts w:ascii="Calibri" w:eastAsia="Calibri" w:hAnsi="Calibri" w:cs="Calibri"/>
          <w:sz w:val="20"/>
          <w:szCs w:val="20"/>
          <w:lang w:eastAsia="en-US"/>
        </w:rPr>
        <w:t>Free</w:t>
      </w:r>
      <w:proofErr w:type="spellEnd"/>
      <w:r w:rsidRPr="00DF453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DF453B">
        <w:rPr>
          <w:rFonts w:ascii="Calibri" w:eastAsia="Calibri" w:hAnsi="Calibri" w:cs="Calibri"/>
          <w:sz w:val="20"/>
          <w:szCs w:val="20"/>
          <w:lang w:eastAsia="en-US"/>
        </w:rPr>
        <w:t>Trade</w:t>
      </w:r>
      <w:proofErr w:type="spellEnd"/>
      <w:r w:rsidRPr="00DF453B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proofErr w:type="spellStart"/>
      <w:r w:rsidRPr="00DF453B">
        <w:rPr>
          <w:rFonts w:ascii="Calibri" w:eastAsia="Calibri" w:hAnsi="Calibri" w:cs="Calibri"/>
          <w:sz w:val="20"/>
          <w:szCs w:val="20"/>
          <w:lang w:eastAsia="en-US"/>
        </w:rPr>
        <w:t>Association</w:t>
      </w:r>
      <w:proofErr w:type="spellEnd"/>
      <w:r w:rsidRPr="00DF453B">
        <w:rPr>
          <w:rFonts w:ascii="Calibri" w:eastAsia="Calibri" w:hAnsi="Calibri" w:cs="Calibri"/>
          <w:sz w:val="20"/>
          <w:szCs w:val="20"/>
          <w:lang w:eastAsia="en-US"/>
        </w:rPr>
        <w:t xml:space="preserve"> – Avrupa Serbest Ticaret Birliği</w:t>
      </w:r>
      <w:r>
        <w:rPr>
          <w:rFonts w:ascii="Calibri" w:hAnsi="Calibri" w:cs="Calibri"/>
          <w:sz w:val="20"/>
          <w:szCs w:val="20"/>
        </w:rPr>
        <w:t>) ülkeleri</w:t>
      </w:r>
      <w:r w:rsidRPr="00DF453B">
        <w:rPr>
          <w:rFonts w:ascii="Calibri" w:hAnsi="Calibri" w:cs="Calibri"/>
          <w:sz w:val="20"/>
          <w:szCs w:val="20"/>
        </w:rPr>
        <w:t xml:space="preserve"> (Norveç, İzlanda, Lihtenştayn) ve (istikrar ve birleşme sürecine katılan) Batı Balk</w:t>
      </w:r>
      <w:r>
        <w:rPr>
          <w:rFonts w:ascii="Calibri" w:hAnsi="Calibri" w:cs="Calibri"/>
          <w:sz w:val="20"/>
          <w:szCs w:val="20"/>
        </w:rPr>
        <w:t>an ülkeleri (Sırbistan)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1102"/>
    <w:multiLevelType w:val="hybridMultilevel"/>
    <w:tmpl w:val="CBF4D59C"/>
    <w:lvl w:ilvl="0" w:tplc="0A14E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41AC9"/>
    <w:multiLevelType w:val="hybridMultilevel"/>
    <w:tmpl w:val="7556FFE2"/>
    <w:lvl w:ilvl="0" w:tplc="96E4182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BB"/>
    <w:rsid w:val="00010326"/>
    <w:rsid w:val="00160C91"/>
    <w:rsid w:val="00267BCE"/>
    <w:rsid w:val="002C7235"/>
    <w:rsid w:val="004A6D29"/>
    <w:rsid w:val="00565809"/>
    <w:rsid w:val="0065651D"/>
    <w:rsid w:val="00727A05"/>
    <w:rsid w:val="007E184D"/>
    <w:rsid w:val="008265BE"/>
    <w:rsid w:val="00887811"/>
    <w:rsid w:val="008E1619"/>
    <w:rsid w:val="00975986"/>
    <w:rsid w:val="00B130BB"/>
    <w:rsid w:val="00B22D6A"/>
    <w:rsid w:val="00C83BFE"/>
    <w:rsid w:val="00C85005"/>
    <w:rsid w:val="00DE1DDC"/>
    <w:rsid w:val="00F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B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30BB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130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130B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B130BB"/>
  </w:style>
  <w:style w:type="paragraph" w:styleId="AralkYok">
    <w:name w:val="No Spacing"/>
    <w:uiPriority w:val="1"/>
    <w:qFormat/>
    <w:rsid w:val="00B130BB"/>
    <w:rPr>
      <w:rFonts w:ascii="Times New Roman" w:eastAsia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130BB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0BB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A6D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6D29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4A6D29"/>
    <w:rPr>
      <w:vertAlign w:val="superscript"/>
    </w:rPr>
  </w:style>
  <w:style w:type="paragraph" w:styleId="ListeParagraf">
    <w:name w:val="List Paragraph"/>
    <w:basedOn w:val="Normal"/>
    <w:uiPriority w:val="34"/>
    <w:qFormat/>
    <w:rsid w:val="004A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B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30BB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B130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130B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B130BB"/>
  </w:style>
  <w:style w:type="paragraph" w:styleId="AralkYok">
    <w:name w:val="No Spacing"/>
    <w:uiPriority w:val="1"/>
    <w:qFormat/>
    <w:rsid w:val="00B130BB"/>
    <w:rPr>
      <w:rFonts w:ascii="Times New Roman" w:eastAsia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B130BB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0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0BB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A6D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6D29"/>
    <w:rPr>
      <w:rFonts w:ascii="Times New Roman" w:eastAsia="Times New Roman" w:hAnsi="Times New Roman"/>
    </w:rPr>
  </w:style>
  <w:style w:type="character" w:styleId="DipnotBavurusu">
    <w:name w:val="footnote reference"/>
    <w:basedOn w:val="VarsaylanParagrafYazTipi"/>
    <w:uiPriority w:val="99"/>
    <w:semiHidden/>
    <w:unhideWhenUsed/>
    <w:rsid w:val="004A6D29"/>
    <w:rPr>
      <w:vertAlign w:val="superscript"/>
    </w:rPr>
  </w:style>
  <w:style w:type="paragraph" w:styleId="ListeParagraf">
    <w:name w:val="List Paragraph"/>
    <w:basedOn w:val="Normal"/>
    <w:uiPriority w:val="34"/>
    <w:qFormat/>
    <w:rsid w:val="004A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.europa.eu/social/main.jsp?catId=630&amp;langId=en&amp;callId=307&amp;furtherCalls=ye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Links>
    <vt:vector size="6" baseType="variant">
      <vt:variant>
        <vt:i4>20054140</vt:i4>
      </vt:variant>
      <vt:variant>
        <vt:i4>0</vt:i4>
      </vt:variant>
      <vt:variant>
        <vt:i4>0</vt:i4>
      </vt:variant>
      <vt:variant>
        <vt:i4>5</vt:i4>
      </vt:variant>
      <vt:variant>
        <vt:lpwstr>http://ec.europa.eu/social/main.jsp?catId=630&amp;langId=en&amp;callId=307&amp;furtherCalls=yes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Mehmet Uğur SERİN</cp:lastModifiedBy>
  <cp:revision>2</cp:revision>
  <dcterms:created xsi:type="dcterms:W3CDTF">2011-06-16T14:34:00Z</dcterms:created>
  <dcterms:modified xsi:type="dcterms:W3CDTF">2011-06-16T14:34:00Z</dcterms:modified>
</cp:coreProperties>
</file>